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40" w:lineRule="auto"/>
        <w:jc w:val="center"/>
        <w:rPr>
          <w:b w:val="1"/>
          <w:sz w:val="32"/>
          <w:szCs w:val="32"/>
          <w:highlight w:val="yellow"/>
        </w:rPr>
      </w:pPr>
      <w:r w:rsidDel="00000000" w:rsidR="00000000" w:rsidRPr="00000000">
        <w:rPr>
          <w:rtl w:val="0"/>
        </w:rPr>
      </w:r>
    </w:p>
    <w:p w:rsidR="00000000" w:rsidDel="00000000" w:rsidP="00000000" w:rsidRDefault="00000000" w:rsidRPr="00000000" w14:paraId="00000004">
      <w:pPr>
        <w:spacing w:after="0" w:line="240" w:lineRule="auto"/>
        <w:jc w:val="center"/>
        <w:rPr>
          <w:b w:val="1"/>
          <w:sz w:val="32"/>
          <w:szCs w:val="32"/>
          <w:highlight w:val="yellow"/>
        </w:rPr>
      </w:pPr>
      <w:r w:rsidDel="00000000" w:rsidR="00000000" w:rsidRPr="00000000">
        <w:rPr>
          <w:rtl w:val="0"/>
        </w:rPr>
      </w:r>
    </w:p>
    <w:p w:rsidR="00000000" w:rsidDel="00000000" w:rsidP="00000000" w:rsidRDefault="00000000" w:rsidRPr="00000000" w14:paraId="00000005">
      <w:pPr>
        <w:spacing w:after="0" w:line="240" w:lineRule="auto"/>
        <w:jc w:val="center"/>
        <w:rPr>
          <w:b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b w:val="1"/>
          <w:sz w:val="32"/>
          <w:szCs w:val="32"/>
        </w:rPr>
      </w:pPr>
      <w:r w:rsidDel="00000000" w:rsidR="00000000" w:rsidRPr="00000000">
        <w:rPr>
          <w:rtl w:val="0"/>
        </w:rPr>
      </w:r>
    </w:p>
    <w:p w:rsidR="00000000" w:rsidDel="00000000" w:rsidP="00000000" w:rsidRDefault="00000000" w:rsidRPr="00000000" w14:paraId="00000007">
      <w:pPr>
        <w:spacing w:after="0" w:line="240" w:lineRule="auto"/>
        <w:jc w:val="center"/>
        <w:rPr>
          <w:b w:val="1"/>
          <w:sz w:val="32"/>
          <w:szCs w:val="32"/>
        </w:rPr>
      </w:pPr>
      <w:r w:rsidDel="00000000" w:rsidR="00000000" w:rsidRPr="00000000">
        <w:rPr>
          <w:rtl w:val="0"/>
        </w:rPr>
      </w:r>
    </w:p>
    <w:p w:rsidR="00000000" w:rsidDel="00000000" w:rsidP="00000000" w:rsidRDefault="00000000" w:rsidRPr="00000000" w14:paraId="00000008">
      <w:pPr>
        <w:spacing w:after="0" w:line="240" w:lineRule="auto"/>
        <w:jc w:val="center"/>
        <w:rPr>
          <w:b w:val="1"/>
          <w:sz w:val="32"/>
          <w:szCs w:val="32"/>
        </w:rPr>
      </w:pPr>
      <w:r w:rsidDel="00000000" w:rsidR="00000000" w:rsidRPr="00000000">
        <w:rPr>
          <w:rtl w:val="0"/>
        </w:rPr>
      </w:r>
    </w:p>
    <w:p w:rsidR="00000000" w:rsidDel="00000000" w:rsidP="00000000" w:rsidRDefault="00000000" w:rsidRPr="00000000" w14:paraId="00000009">
      <w:pPr>
        <w:spacing w:after="0" w:line="240" w:lineRule="auto"/>
        <w:jc w:val="center"/>
        <w:rPr>
          <w:b w:val="1"/>
          <w:sz w:val="32"/>
          <w:szCs w:val="32"/>
        </w:rPr>
      </w:pPr>
      <w:r w:rsidDel="00000000" w:rsidR="00000000" w:rsidRPr="00000000">
        <w:rPr>
          <w:b w:val="1"/>
          <w:sz w:val="32"/>
          <w:szCs w:val="32"/>
          <w:rtl w:val="0"/>
        </w:rPr>
        <w:t xml:space="preserve">BREED</w:t>
      </w:r>
    </w:p>
    <w:p w:rsidR="00000000" w:rsidDel="00000000" w:rsidP="00000000" w:rsidRDefault="00000000" w:rsidRPr="00000000" w14:paraId="0000000A">
      <w:pPr>
        <w:spacing w:after="0" w:line="240" w:lineRule="auto"/>
        <w:jc w:val="center"/>
        <w:rPr>
          <w:i w:val="1"/>
          <w:sz w:val="28"/>
          <w:szCs w:val="28"/>
        </w:rPr>
      </w:pPr>
      <w:r w:rsidDel="00000000" w:rsidR="00000000" w:rsidRPr="00000000">
        <w:rPr>
          <w:i w:val="1"/>
          <w:sz w:val="28"/>
          <w:szCs w:val="28"/>
          <w:rtl w:val="0"/>
        </w:rPr>
        <w:t xml:space="preserve">Building community REsiliencE and sustainable Development through social economy</w:t>
      </w:r>
    </w:p>
    <w:p w:rsidR="00000000" w:rsidDel="00000000" w:rsidP="00000000" w:rsidRDefault="00000000" w:rsidRPr="00000000" w14:paraId="0000000B">
      <w:pPr>
        <w:spacing w:after="0" w:line="240" w:lineRule="auto"/>
        <w:jc w:val="center"/>
        <w:rPr>
          <w:sz w:val="24"/>
          <w:szCs w:val="24"/>
        </w:rPr>
      </w:pPr>
      <w:r w:rsidDel="00000000" w:rsidR="00000000" w:rsidRPr="00000000">
        <w:rPr>
          <w:sz w:val="24"/>
          <w:szCs w:val="24"/>
          <w:rtl w:val="0"/>
        </w:rPr>
        <w:t xml:space="preserve">Project n° 101074094 BREED SMP-COSME-2021-RESILIENCE</w:t>
      </w:r>
    </w:p>
    <w:p w:rsidR="00000000" w:rsidDel="00000000" w:rsidP="00000000" w:rsidRDefault="00000000" w:rsidRPr="00000000" w14:paraId="0000000C">
      <w:pPr>
        <w:spacing w:after="0" w:line="259"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D">
      <w:pPr>
        <w:spacing w:after="0" w:line="259"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E">
      <w:pPr>
        <w:spacing w:after="0" w:line="259" w:lineRule="auto"/>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50" w:right="988" w:firstLine="85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Call for applicants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50" w:right="988" w:firstLine="85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Selection of participants to Transnational Social Missions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9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9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50" w:right="988" w:firstLine="85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50" w:right="988" w:firstLine="85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50" w:right="988" w:firstLine="85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50" w:right="988" w:firstLine="85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50" w:right="988" w:firstLine="85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50" w:right="988" w:firstLine="85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PROJECT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project BREED,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Building community REsiliencE and sustainable Development through social economy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(Project n° 101074094 - SMP-COSME-2021-RESILIENCE) is a project funded by the COSME Programme under the Call for Proposals SMP-COSME-2021-RESILIENCE, which aims to support the resilience of the European economy in the post-pandemic era through inter-institutional cooperation, innovation and green and digital transition.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project involves urban contexts in the Mediterranean and Southern European area that are facing similar social, economic and demographic challenges and aims at fostering the resilience of local economic systems through capacity building of local public administrations, social organisations and civil society in the field of social economy.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action aims to develop the capacity of local actors to co-create innovative models of community development based on inter-institutional cooperation and the social economy: through transnational cooperation, multi-stakeholder approach, exchange of good practices and peer learning, the project will involve local public authorities, social cooperatives, SMEs, non-profit associations, social economy stakeholders and local communities of the target areas in the joint development of long-term strategies and action plans (Social Economy Action Plans) focusing on public-private cooperation, generativity and social economy dedicated to the promotion of community welfare and sustainable and inclusive development of the target areas.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project, officially launched in May 2022, will involve the communities living in the territories of the provinces of Trapani (IT), Paredes (PT), Valencia (ES) and Katerini (EL) for the next two years and will be carried out in parallel by the Agrigento and Trapani Community Foundation, ENSIE (European Network of Social Integration Entreprises), the Mancomunidad de La Ribera Alta and the municipalities of Alcamo, Paredes and Katerini.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988"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OBJECTIVES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project proposes the co-development of innovative community development models leveraging the strengths of the social economy and public authorities to rethink socio-economic actions for a post COVID-19 recovery aimed at inclusive, green, digital and sustainable development.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project’s strategy is based on three, self-reinforcing, components: </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transformative approach to inclusive community development for individual and collective learning processes, with a strong emphasis on a recovery driven by an enhanced social and environmental consciousness and behaviours to strengthen mechanisms of community participation and social responsibility of local public administrations, social economy organizations and civil society to boost sustainable community and face to pressing health, social and economic challenges in their community. A participative and multi-stakeholders engagement approach will engage public actors, social actors and citizens in regional/local debates about the social economy, while at the same time joining forces with neighbouring regions and cities and further developing a European and interregional dimension.</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Transnational, cross-city and people-to-people exchanges and peer learning to create direct links between public and private target groups, stakeholders, partner organizations and local communities, with the purpose to promote a joint development and to plan new solutions to common problems that are currently faced by the target communities.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Call for Applicants intends to select 16 beneficiaries to participate in the Transnational Social Missions envisaged by the project to promote peer-to-peer exchange on the topic of social economy.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988"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CONTENTS AND METHODOLOGY</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foreseen to held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 Transnational Social Missions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 per Participating Country, and each beneficiary may participate in one of these.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transnational and cross-city capacity building program includes transnational social missions in all participating countries, engaging social economy stakeholders (public and private sector) from each target community to:</w:t>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together on common challenges, </w:t>
      </w:r>
    </w:p>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 community practices on legal, policy and regulatory frameworks, innovative social business models, governance, success stories and strategies.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N.5 transnational thematic social economy missions will be organized and implemented in Italy, Portugal, Greece, Spain, Belgium to bring together into meaningful and productive interaction local administrations accompanied by regional and local social economy stakeholders (social enterprises, cooperatives, associations, SMEs, etc.) from all participating regions and local communities.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transnational social missions will inspire and contribute to the elaboration of local social action plans and recommendations. All partners, basing on the preliminary context analysis conducted, will actively participate in the organisation of the peer learning and capacity building programme, which foresees a broad involvement of stakeholders in capacity building and identification of potential solutions.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Here as follows the list of Social Missions with key information on each: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 Mission in Italy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Duration of the study visit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5 days (including arrival and departure days).</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Hosting organization: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Municipality of Alcamo</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Sending organizations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other partner organizations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Participants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n.5 target groups (4 private and 1 public) from each local community. In total n.20 target groups/participants involved.</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Transnational debate on social sector problems &amp; challenges; Identification of reference contexts major challenges; Identification of best  practices in the agriculture and assistance services; Identification or priority areas of improvement for capacity building</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Focus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Social agriculture, youth entrepreneurship, social inclusion of disadvantaged groups.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Activities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Transnational debate; workshops; study visit; case study; SWOT analysis development per Member State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 Mission in Portugal</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Duration of the study visit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5 days (including arrival and departure days).</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Hosting organization: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Municipality of Paredes</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Sending organizations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other partner organizations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Participants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n.5 target groups (4 private and 1 public) from each local community. In total n.20 target groups/participants involved.</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Peer learning &amp; best practice exchanges; shared analysis of best practice in the Host Member Country and collective discussion/f2f between participants to compare what is done in others.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Focus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Lifelong learning, education &amp; sport as means to foster employment &amp; social inclusion.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Activities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peer to peer learning; teamwork and face to face discussions;  workshops; study visit; case study</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 Mission in Greece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Duration of the study visit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5 days (including arrival and departure days).</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Hosting organization: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Municipality of Katerini</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Sending organizations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other partner organizations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Participants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n.5 target groups (4 private and 1 public) from each local community. In total n.20 target groups/participants involved.</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Peer learning &amp; best practice exchanges; shared analysis of best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practice in the Host Member Country and collective discussion/f2f between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to compare what is done in others.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Focus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Green &amp; digital inclusion as means to foster employment, equality &amp;</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integration.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Activities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peer to peer learning; teamwork and face to face discussions;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workshops; study visit; case study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 Mission in Spain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Duration of the study visit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5 days (including arrival and departure days).</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Hosting organization: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Mancomunidad De La Ribera Alta</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Sending organizations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other partner organizations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Participants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n.5 target groups (4 private and 1 public) from each local community. In total n.20 target groups/participants involved.</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Peer learning &amp; best practice exchanges; shared analysis of best practice in the Host Member Country and collective discussion/f2f between participants to compare what is done in others.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Focus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Social protection, housing and health</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Activities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peer to peer learning; teamwork and face to face discussions; workshops; study visit; case study</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 Mission in Belgium</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Duration of the study visit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5 days (including arrival and departure days).</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Hosting organization: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ENSIE</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Sending organizations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other partner organizations </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Participants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n.5 target groups (4 private and 1 public) from each local community. In total n.20 target groups/participants involved.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Analysis and development of shared guidelines for the development of community social action plans, providing the basis for WP3’s development.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Activities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workshops; brainstorming sessions; shared analysis of current processes; identification of best practices and tools; development of guidelines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BENEFICIARIES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Call aims to select 16 beneficiaries (4 per Transnational Social Mission to be held abroad) with the following characteristics:</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Residence in the target area</w:t>
      </w:r>
      <w:r w:rsidDel="00000000" w:rsidR="00000000" w:rsidRPr="00000000">
        <w:rPr>
          <w:rtl w:val="0"/>
        </w:rPr>
        <w:t xml:space="preserve"> (Katerini)</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Worker or volunteer in local social economy stakeholders’ organizations (social enterprises, cooperatives, associations, SMEs, etc.) </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Interest in social economy and local development</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Willingness to get involved in local community development on the long term</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Motivation and commitment to participate in the entire project (it is foreseen to held local events after the transnational phase)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988"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PROGRAMME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transnational program will start in October 2022 and will include the organization and implementation of 5 Transnational Social Missions. Each hosting organization will provide and Info Pack with relevant info on travels and activities.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sending organization will cover flights tickets and accommodation costs, while beneficiaries may be asked to bear with their own resources daily subsistence costs.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the Transnational phase it is foreseen a local phase, where beneficiaries will take part to the activities to develop Local Social Action Plans together with local Public Administrations and other relevant local stakeholders.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613.0" w:type="dxa"/>
        <w:jc w:val="left"/>
        <w:tblInd w:w="0.0" w:type="dxa"/>
        <w:tblBorders>
          <w:top w:color="93cddc" w:space="0" w:sz="4" w:val="single"/>
          <w:left w:color="93cddc" w:space="0" w:sz="4" w:val="single"/>
          <w:bottom w:color="93cddc" w:space="0" w:sz="4" w:val="single"/>
          <w:right w:color="93cddc" w:space="0" w:sz="4" w:val="single"/>
          <w:insideH w:color="93cddc" w:space="0" w:sz="4" w:val="single"/>
          <w:insideV w:color="9bbb59" w:space="0" w:sz="8" w:val="single"/>
        </w:tblBorders>
        <w:tblLayout w:type="fixed"/>
        <w:tblLook w:val="0400"/>
      </w:tblPr>
      <w:tblGrid>
        <w:gridCol w:w="4219"/>
        <w:gridCol w:w="4394"/>
        <w:tblGridChange w:id="0">
          <w:tblGrid>
            <w:gridCol w:w="4219"/>
            <w:gridCol w:w="4394"/>
          </w:tblGrid>
        </w:tblGridChange>
      </w:tblGrid>
      <w:tr>
        <w:trPr>
          <w:cantSplit w:val="0"/>
          <w:tblHeader w:val="0"/>
        </w:trPr>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 Mission</w:t>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Indicative period</w:t>
            </w:r>
          </w:p>
        </w:tc>
      </w:tr>
      <w:tr>
        <w:trPr>
          <w:cantSplit w:val="0"/>
          <w:tblHeader w:val="0"/>
        </w:trPr>
        <w:tc>
          <w:tcPr/>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Mission in Italy</w:t>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7 to 11 November 2022</w:t>
            </w:r>
          </w:p>
        </w:tc>
      </w:tr>
      <w:tr>
        <w:trPr>
          <w:cantSplit w:val="0"/>
          <w:tblHeader w:val="0"/>
        </w:trPr>
        <w:tc>
          <w:tcPr/>
          <w:p w:rsidR="00000000" w:rsidDel="00000000" w:rsidP="00000000" w:rsidRDefault="00000000" w:rsidRPr="00000000" w14:paraId="000000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Mission in Portugal</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 November to 1 December 2022</w:t>
            </w:r>
          </w:p>
        </w:tc>
      </w:tr>
      <w:tr>
        <w:trPr>
          <w:cantSplit w:val="0"/>
          <w:tblHeader w:val="0"/>
        </w:trPr>
        <w:tc>
          <w:tcPr/>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Mission in Greece</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 to 27 January 2023</w:t>
            </w:r>
          </w:p>
        </w:tc>
      </w:tr>
      <w:tr>
        <w:trPr>
          <w:cantSplit w:val="0"/>
          <w:tblHeader w:val="0"/>
        </w:trPr>
        <w:tc>
          <w:tcPr/>
          <w:p w:rsidR="00000000" w:rsidDel="00000000" w:rsidP="00000000" w:rsidRDefault="00000000" w:rsidRPr="00000000" w14:paraId="000000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Mission in Spain</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to 17 March 2023</w:t>
            </w:r>
          </w:p>
        </w:tc>
      </w:tr>
      <w:tr>
        <w:trPr>
          <w:cantSplit w:val="0"/>
          <w:tblHeader w:val="0"/>
        </w:trPr>
        <w:tc>
          <w:tcPr/>
          <w:p w:rsidR="00000000" w:rsidDel="00000000" w:rsidP="00000000" w:rsidRDefault="00000000" w:rsidRPr="00000000" w14:paraId="000000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Mission in Belgium</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to 22 April 2023</w:t>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988" w:firstLine="8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b w:val="1"/>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b w:val="1"/>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BENEFICIARIES SELECTION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selection of participants is carried out taking into account the above-mentioned requirements, profile and motivation to participate, in order to ensure the heterogeneity of the group of participants as well as their constant participation during the implementation of the entire programme.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programme is free of charge for the selected participants, who will have the opportunity to acquire new knowledge and skills in the social economy field.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Please note that each sending organization will cover flights tickets and accommodation costs, while beneficiaries may be asked to bear with their own resources daily subsistence costs.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organisers, in any case, have absolute discretion in assessing the existence and/or relevance of the eligibility and non-eligibility requirements and in evaluating the applications received in accordance with the project objectives.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submitting their application, applicants accept all the provisions of this call for applications.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TO APPLY</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economy stakeholders interested in participating should send their expression of interest by filling in the form available at</w:t>
      </w:r>
      <w:r w:rsidDel="00000000" w:rsidR="00000000" w:rsidRPr="00000000">
        <w:rPr>
          <w:rtl w:val="0"/>
        </w:rPr>
        <w:t xml:space="preserve"> </w:t>
      </w:r>
      <w:hyperlink r:id="rId7">
        <w:r w:rsidDel="00000000" w:rsidR="00000000" w:rsidRPr="00000000">
          <w:rPr>
            <w:color w:val="1155cc"/>
            <w:u w:val="single"/>
            <w:rtl w:val="0"/>
          </w:rPr>
          <w:t xml:space="preserve">https://forms.gle/71ThwsVAaSS1KTTX8</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Selected participants will be notified of their selection and will complete their application by sending in the application form duly completed and signed plus a Memorandum of Understanding, stating their commitment to participate in the indicated Social Mission(s).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PARTNERS</w:t>
      </w:r>
    </w:p>
    <w:p w:rsidR="00000000" w:rsidDel="00000000" w:rsidP="00000000" w:rsidRDefault="00000000" w:rsidRPr="00000000" w14:paraId="0000008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FONDAZIONE COMUNITARIA DI AGRIGENTO E TRAPANI, Italy</w:t>
      </w:r>
    </w:p>
    <w:p w:rsidR="00000000" w:rsidDel="00000000" w:rsidP="00000000" w:rsidRDefault="00000000" w:rsidRPr="00000000" w14:paraId="0000009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EUROPEAN NETWORK OF SOCIAL INTEGRATION ENTERPRISES, Belgium</w:t>
      </w:r>
    </w:p>
    <w:p w:rsidR="00000000" w:rsidDel="00000000" w:rsidP="00000000" w:rsidRDefault="00000000" w:rsidRPr="00000000" w14:paraId="0000009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DIMOS KATERINIS, Greece</w:t>
      </w:r>
    </w:p>
    <w:p w:rsidR="00000000" w:rsidDel="00000000" w:rsidP="00000000" w:rsidRDefault="00000000" w:rsidRPr="00000000" w14:paraId="0000009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MANCOMUNIDAD DE LA RIBERA ALTA, Spain</w:t>
      </w:r>
    </w:p>
    <w:p w:rsidR="00000000" w:rsidDel="00000000" w:rsidP="00000000" w:rsidRDefault="00000000" w:rsidRPr="00000000" w14:paraId="0000009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MUNICIPIO DE PAREDES, Portugal</w:t>
      </w:r>
    </w:p>
    <w:p w:rsidR="00000000" w:rsidDel="00000000" w:rsidP="00000000" w:rsidRDefault="00000000" w:rsidRPr="00000000" w14:paraId="0000009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98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COMUNE DI ALCAMO, Italy</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6">
      <w:pPr>
        <w:rPr>
          <w:b w:val="1"/>
          <w:sz w:val="24"/>
          <w:szCs w:val="24"/>
          <w:u w:val="single"/>
        </w:rPr>
      </w:pPr>
      <w:r w:rsidDel="00000000" w:rsidR="00000000" w:rsidRPr="00000000">
        <w:rPr>
          <w:rtl w:val="0"/>
        </w:rPr>
      </w:r>
    </w:p>
    <w:sectPr>
      <w:headerReference r:id="rId8" w:type="default"/>
      <w:footerReference r:id="rId9"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CnPr/>
                    <wps:spPr>
                      <a:xfrm flipH="1" rot="10800000">
                        <a:off x="2049080" y="3770158"/>
                        <a:ext cx="6593840" cy="19685"/>
                      </a:xfrm>
                      <a:prstGeom prst="straightConnector1">
                        <a:avLst/>
                      </a:prstGeom>
                      <a:solidFill>
                        <a:srgbClr val="FFFFFF"/>
                      </a:solidFill>
                      <a:ln cap="flat" cmpd="sng" w="19050">
                        <a:solidFill>
                          <a:srgbClr val="479DF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1993900</wp:posOffset>
              </wp:positionH>
              <wp:positionV relativeFrom="paragraph">
                <wp:posOffset>50800</wp:posOffset>
              </wp:positionV>
              <wp:extent cx="4121150" cy="565150"/>
              <wp:effectExtent b="0" l="0" r="0" t="0"/>
              <wp:wrapNone/>
              <wp:docPr id="5" name=""/>
              <a:graphic>
                <a:graphicData uri="http://schemas.microsoft.com/office/word/2010/wordprocessingShape">
                  <wps:wsp>
                    <wps:cNvSpPr/>
                    <wps:cNvPr id="2" name="Shape 2"/>
                    <wps:spPr>
                      <a:xfrm>
                        <a:off x="3298125" y="3510125"/>
                        <a:ext cx="4095750" cy="539750"/>
                      </a:xfrm>
                      <a:custGeom>
                        <a:rect b="b" l="l" r="r" t="t"/>
                        <a:pathLst>
                          <a:path extrusionOk="0" h="539750" w="4095750">
                            <a:moveTo>
                              <a:pt x="0" y="0"/>
                            </a:moveTo>
                            <a:lnTo>
                              <a:pt x="0" y="539750"/>
                            </a:lnTo>
                            <a:lnTo>
                              <a:pt x="4095750" y="539750"/>
                            </a:lnTo>
                            <a:lnTo>
                              <a:pt x="4095750" y="0"/>
                            </a:lnTo>
                            <a:close/>
                          </a:path>
                        </a:pathLst>
                      </a:custGeom>
                      <a:solidFill>
                        <a:srgbClr val="FFFFFF"/>
                      </a:solidFill>
                      <a:ln cap="flat" cmpd="sng" w="12700">
                        <a:solidFill>
                          <a:srgbClr val="FFFFFF"/>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t xml:space="preserve">This document has been prepared for the European Commission however it reflects the views only of the authors, and the Commission cannot be held responsible for any use which may be made of the information contained therein.</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1993900</wp:posOffset>
              </wp:positionH>
              <wp:positionV relativeFrom="paragraph">
                <wp:posOffset>50800</wp:posOffset>
              </wp:positionV>
              <wp:extent cx="4121150" cy="565150"/>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121150" cy="565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-572133</wp:posOffset>
          </wp:positionH>
          <wp:positionV relativeFrom="paragraph">
            <wp:posOffset>97155</wp:posOffset>
          </wp:positionV>
          <wp:extent cx="2573020" cy="539750"/>
          <wp:effectExtent b="0" l="0" r="0" t="0"/>
          <wp:wrapTopAndBottom distB="0" distT="0"/>
          <wp:docPr descr="Immagine che contiene testo&#10;&#10;Descrizione generata automaticamente" id="7" name="image1.jpg"/>
          <a:graphic>
            <a:graphicData uri="http://schemas.openxmlformats.org/drawingml/2006/picture">
              <pic:pic>
                <pic:nvPicPr>
                  <pic:cNvPr descr="Immagine che contiene testo&#10;&#10;Descrizione generata automaticamente" id="0" name="image1.jpg"/>
                  <pic:cNvPicPr preferRelativeResize="0"/>
                </pic:nvPicPr>
                <pic:blipFill>
                  <a:blip r:embed="rId3"/>
                  <a:srcRect b="0" l="0" r="0" t="0"/>
                  <a:stretch>
                    <a:fillRect/>
                  </a:stretch>
                </pic:blipFill>
                <pic:spPr>
                  <a:xfrm>
                    <a:off x="0" y="0"/>
                    <a:ext cx="2573020" cy="539750"/>
                  </a:xfrm>
                  <a:prstGeom prst="rect"/>
                  <a:ln/>
                </pic:spPr>
              </pic:pic>
            </a:graphicData>
          </a:graphic>
        </wp:anchor>
      </w:drawing>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BREED Project Call for Applicants for Transnational Social Missions</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Project n° 101074094 BREED SMP-COSME-2021-RESILIENCE</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widowControl w:val="0"/>
      <w:spacing w:after="0" w:line="240" w:lineRule="auto"/>
      <w:ind w:left="850" w:right="987"/>
      <w:jc w:val="center"/>
    </w:pPr>
    <w:rPr>
      <w:rFonts w:ascii="Calibri" w:cs="Calibri" w:eastAsia="Calibri" w:hAnsi="Calibri"/>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line="240" w:lineRule="auto"/>
      <w:ind w:left="850" w:right="987"/>
      <w:jc w:val="center"/>
    </w:pPr>
    <w:rPr>
      <w:rFonts w:ascii="Calibri" w:cs="Calibri" w:eastAsia="Calibri" w:hAnsi="Calibri"/>
      <w:b w:val="1"/>
      <w:sz w:val="32"/>
      <w:szCs w:val="3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ED1380"/>
    <w:pPr>
      <w:tabs>
        <w:tab w:val="center" w:pos="4153"/>
        <w:tab w:val="right" w:pos="8306"/>
      </w:tabs>
      <w:spacing w:after="0" w:line="240" w:lineRule="auto"/>
    </w:pPr>
  </w:style>
  <w:style w:type="character" w:styleId="IntestazioneCarattere" w:customStyle="1">
    <w:name w:val="Intestazione Carattere"/>
    <w:basedOn w:val="Carpredefinitoparagrafo"/>
    <w:link w:val="Intestazione"/>
    <w:uiPriority w:val="99"/>
    <w:rsid w:val="00ED1380"/>
  </w:style>
  <w:style w:type="paragraph" w:styleId="Pidipagina">
    <w:name w:val="footer"/>
    <w:basedOn w:val="Normale"/>
    <w:link w:val="PidipaginaCarattere"/>
    <w:uiPriority w:val="99"/>
    <w:unhideWhenUsed w:val="1"/>
    <w:rsid w:val="00ED1380"/>
    <w:pPr>
      <w:tabs>
        <w:tab w:val="center" w:pos="4153"/>
        <w:tab w:val="right" w:pos="8306"/>
      </w:tabs>
      <w:spacing w:after="0" w:line="240" w:lineRule="auto"/>
    </w:pPr>
  </w:style>
  <w:style w:type="character" w:styleId="PidipaginaCarattere" w:customStyle="1">
    <w:name w:val="Piè di pagina Carattere"/>
    <w:basedOn w:val="Carpredefinitoparagrafo"/>
    <w:link w:val="Pidipagina"/>
    <w:uiPriority w:val="99"/>
    <w:rsid w:val="00ED1380"/>
  </w:style>
  <w:style w:type="paragraph" w:styleId="Testofumetto">
    <w:name w:val="Balloon Text"/>
    <w:basedOn w:val="Normale"/>
    <w:link w:val="TestofumettoCarattere"/>
    <w:uiPriority w:val="99"/>
    <w:semiHidden w:val="1"/>
    <w:unhideWhenUsed w:val="1"/>
    <w:rsid w:val="00ED1380"/>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ED1380"/>
    <w:rPr>
      <w:rFonts w:ascii="Tahoma" w:cs="Tahoma" w:hAnsi="Tahoma"/>
      <w:sz w:val="16"/>
      <w:szCs w:val="16"/>
    </w:rPr>
  </w:style>
  <w:style w:type="table" w:styleId="Grigliatabella">
    <w:name w:val="Table Grid"/>
    <w:basedOn w:val="Tabellanormale"/>
    <w:uiPriority w:val="59"/>
    <w:rsid w:val="00ED138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gliachiara-Colore3">
    <w:name w:val="Light Grid Accent 3"/>
    <w:basedOn w:val="Tabellanormale"/>
    <w:uiPriority w:val="62"/>
    <w:rsid w:val="00ED1380"/>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Elencochiaro-Colore3">
    <w:name w:val="Light List Accent 3"/>
    <w:basedOn w:val="Tabellanormale"/>
    <w:uiPriority w:val="61"/>
    <w:rsid w:val="0012598E"/>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character" w:styleId="Rimandocommento">
    <w:name w:val="annotation reference"/>
    <w:basedOn w:val="Carpredefinitoparagrafo"/>
    <w:uiPriority w:val="99"/>
    <w:semiHidden w:val="1"/>
    <w:unhideWhenUsed w:val="1"/>
    <w:rsid w:val="00DE11CB"/>
    <w:rPr>
      <w:sz w:val="16"/>
      <w:szCs w:val="16"/>
    </w:rPr>
  </w:style>
  <w:style w:type="paragraph" w:styleId="Testocommento">
    <w:name w:val="annotation text"/>
    <w:basedOn w:val="Normale"/>
    <w:link w:val="TestocommentoCarattere"/>
    <w:uiPriority w:val="99"/>
    <w:semiHidden w:val="1"/>
    <w:unhideWhenUsed w:val="1"/>
    <w:rsid w:val="00DE11CB"/>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DE11CB"/>
    <w:rPr>
      <w:sz w:val="20"/>
      <w:szCs w:val="20"/>
    </w:rPr>
  </w:style>
  <w:style w:type="paragraph" w:styleId="Soggettocommento">
    <w:name w:val="annotation subject"/>
    <w:basedOn w:val="Testocommento"/>
    <w:next w:val="Testocommento"/>
    <w:link w:val="SoggettocommentoCarattere"/>
    <w:uiPriority w:val="99"/>
    <w:semiHidden w:val="1"/>
    <w:unhideWhenUsed w:val="1"/>
    <w:rsid w:val="00DE11CB"/>
    <w:rPr>
      <w:b w:val="1"/>
      <w:bCs w:val="1"/>
    </w:rPr>
  </w:style>
  <w:style w:type="character" w:styleId="SoggettocommentoCarattere" w:customStyle="1">
    <w:name w:val="Soggetto commento Carattere"/>
    <w:basedOn w:val="TestocommentoCarattere"/>
    <w:link w:val="Soggettocommento"/>
    <w:uiPriority w:val="99"/>
    <w:semiHidden w:val="1"/>
    <w:rsid w:val="00DE11CB"/>
    <w:rPr>
      <w:b w:val="1"/>
      <w:bCs w:val="1"/>
      <w:sz w:val="20"/>
      <w:szCs w:val="20"/>
    </w:rPr>
  </w:style>
  <w:style w:type="character" w:styleId="Collegamentoipertestuale">
    <w:name w:val="Hyperlink"/>
    <w:basedOn w:val="Carpredefinitoparagrafo"/>
    <w:uiPriority w:val="99"/>
    <w:semiHidden w:val="1"/>
    <w:unhideWhenUsed w:val="1"/>
    <w:rsid w:val="00C245FF"/>
    <w:rPr>
      <w:color w:val="0563c1"/>
      <w:u w:val="single"/>
    </w:rPr>
  </w:style>
  <w:style w:type="table" w:styleId="Tabellaelenco4-colore5">
    <w:name w:val="List Table 4 Accent 5"/>
    <w:basedOn w:val="Tabellanormale"/>
    <w:uiPriority w:val="49"/>
    <w:rsid w:val="00CC68F0"/>
    <w:pPr>
      <w:spacing w:after="0" w:line="240" w:lineRule="auto"/>
    </w:p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paragraph" w:styleId="Corpotesto">
    <w:name w:val="Body Text"/>
    <w:basedOn w:val="Normale"/>
    <w:link w:val="CorpotestoCarattere"/>
    <w:uiPriority w:val="1"/>
    <w:qFormat w:val="1"/>
    <w:rsid w:val="001E2D86"/>
    <w:pPr>
      <w:widowControl w:val="0"/>
      <w:autoSpaceDE w:val="0"/>
      <w:autoSpaceDN w:val="0"/>
      <w:spacing w:after="0" w:line="240" w:lineRule="auto"/>
      <w:ind w:left="113"/>
    </w:pPr>
    <w:rPr>
      <w:rFonts w:ascii="Calibri" w:cs="Calibri" w:eastAsia="Calibri" w:hAnsi="Calibri"/>
      <w:lang w:val="en-US"/>
    </w:rPr>
  </w:style>
  <w:style w:type="character" w:styleId="CorpotestoCarattere" w:customStyle="1">
    <w:name w:val="Corpo testo Carattere"/>
    <w:basedOn w:val="Carpredefinitoparagrafo"/>
    <w:link w:val="Corpotesto"/>
    <w:uiPriority w:val="1"/>
    <w:rsid w:val="001E2D86"/>
    <w:rPr>
      <w:rFonts w:ascii="Calibri" w:cs="Calibri" w:eastAsia="Calibri" w:hAnsi="Calibri"/>
      <w:lang w:val="en-US"/>
    </w:rPr>
  </w:style>
  <w:style w:type="paragraph" w:styleId="Titolo">
    <w:name w:val="Title"/>
    <w:basedOn w:val="Normale"/>
    <w:link w:val="TitoloCarattere"/>
    <w:uiPriority w:val="10"/>
    <w:qFormat w:val="1"/>
    <w:rsid w:val="001E2D86"/>
    <w:pPr>
      <w:widowControl w:val="0"/>
      <w:autoSpaceDE w:val="0"/>
      <w:autoSpaceDN w:val="0"/>
      <w:spacing w:after="0" w:line="240" w:lineRule="auto"/>
      <w:ind w:left="850" w:right="987"/>
      <w:jc w:val="center"/>
    </w:pPr>
    <w:rPr>
      <w:rFonts w:ascii="Calibri" w:cs="Calibri" w:eastAsia="Calibri" w:hAnsi="Calibri"/>
      <w:b w:val="1"/>
      <w:bCs w:val="1"/>
      <w:sz w:val="32"/>
      <w:szCs w:val="32"/>
      <w:lang w:val="en-US"/>
    </w:rPr>
  </w:style>
  <w:style w:type="character" w:styleId="TitoloCarattere" w:customStyle="1">
    <w:name w:val="Titolo Carattere"/>
    <w:basedOn w:val="Carpredefinitoparagrafo"/>
    <w:link w:val="Titolo"/>
    <w:uiPriority w:val="10"/>
    <w:rsid w:val="001E2D86"/>
    <w:rPr>
      <w:rFonts w:ascii="Calibri" w:cs="Calibri" w:eastAsia="Calibri" w:hAnsi="Calibri"/>
      <w:b w:val="1"/>
      <w:bCs w:val="1"/>
      <w:sz w:val="32"/>
      <w:szCs w:val="32"/>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71ThwsVAaSS1KTTX8"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K32z2TrInWD9mcr5oG9ilk9oDA==">AMUW2mWgB1Ftn4nJMfaCLbJSJdSn4fulIDsayr7XrPE15JJlVJQP/LOcJ+8iCShmb+Cb8dUGNltVBv7miHgw9gp57gBUkXjfrUF/RQ/IQcNj4hdu4pvzNkw=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2020-11-27T11:25:00Z</dcterms:created>
  <dc:creator>HP</dc:creator>
</cp:coreProperties>
</file>